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Pr="00F9765D" w:rsidR="00A23F48" w:rsidTr="0C058F1C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C058F1C" w:rsidRDefault="008E39B4" w14:paraId="78D908C9" w14:textId="363D5039">
            <w:pPr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</w:pPr>
            <w:r w:rsidRPr="0C058F1C" w:rsidR="008E39B4"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What will we be learning?</w:t>
            </w:r>
          </w:p>
          <w:p w:rsidR="008E39B4" w:rsidP="0C058F1C" w:rsidRDefault="008645FE" w14:paraId="3FD18875" w14:textId="2A7CC40C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8645F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HOW </w:t>
            </w:r>
            <w:r w:rsidRPr="0C058F1C" w:rsidR="009E652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DO</w:t>
            </w:r>
            <w:r w:rsidRPr="0C058F1C" w:rsidR="008645F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YOU </w:t>
            </w:r>
            <w:r w:rsidRPr="0C058F1C" w:rsidR="006E2C5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STUDY AN INSTRUMENT</w:t>
            </w:r>
            <w:r w:rsidRPr="0C058F1C" w:rsidR="00B159B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?</w:t>
            </w:r>
          </w:p>
          <w:p w:rsidRPr="00917300" w:rsidR="00566CF7" w:rsidP="0C058F1C" w:rsidRDefault="005611B1" w14:paraId="25AB630A" w14:textId="77777777">
            <w:pPr>
              <w:spacing w:after="0"/>
              <w:jc w:val="center"/>
              <w:rPr>
                <w:b w:val="1"/>
                <w:bCs w:val="1"/>
                <w:sz w:val="22"/>
                <w:szCs w:val="22"/>
              </w:rPr>
            </w:pPr>
            <w:r w:rsidRPr="0C058F1C" w:rsidR="005611B1">
              <w:rPr>
                <w:b w:val="1"/>
                <w:bCs w:val="1"/>
                <w:sz w:val="22"/>
                <w:szCs w:val="22"/>
              </w:rPr>
              <w:t xml:space="preserve">Year 9 GCSE-Ready – </w:t>
            </w:r>
          </w:p>
          <w:p w:rsidRPr="005611B1" w:rsidR="00B159B1" w:rsidP="0C058F1C" w:rsidRDefault="006E2C51" w14:paraId="757809B9" w14:textId="4429A310">
            <w:pPr>
              <w:spacing w:after="0"/>
              <w:jc w:val="center"/>
              <w:rPr>
                <w:b w:val="1"/>
                <w:bCs w:val="1"/>
                <w:sz w:val="22"/>
                <w:szCs w:val="22"/>
              </w:rPr>
            </w:pPr>
            <w:r w:rsidRPr="0C058F1C" w:rsidR="006E2C51">
              <w:rPr>
                <w:b w:val="1"/>
                <w:bCs w:val="1"/>
                <w:sz w:val="22"/>
                <w:szCs w:val="22"/>
              </w:rPr>
              <w:t>My Music</w:t>
            </w:r>
          </w:p>
        </w:tc>
        <w:tc>
          <w:tcPr>
            <w:tcW w:w="5386" w:type="dxa"/>
            <w:shd w:val="clear" w:color="auto" w:fill="FFEFFF"/>
            <w:tcMar/>
          </w:tcPr>
          <w:p w:rsidRPr="00F9765D" w:rsidR="008E39B4" w:rsidP="0C058F1C" w:rsidRDefault="008E39B4" w14:paraId="191A053B" w14:textId="77777777">
            <w:pPr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</w:pPr>
            <w:r w:rsidRPr="0C058F1C" w:rsidR="008E39B4"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Why this? Why now?</w:t>
            </w:r>
          </w:p>
          <w:p w:rsidR="00471A0F" w:rsidP="0C058F1C" w:rsidRDefault="00D54BF0" w14:paraId="0F29E7E6" w14:textId="19F12E74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D54BF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This </w:t>
            </w:r>
            <w:r w:rsidRPr="0C058F1C" w:rsidR="0065671D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final </w:t>
            </w:r>
            <w:r w:rsidRPr="0C058F1C" w:rsidR="00D54BF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unit </w:t>
            </w:r>
            <w:r w:rsidRPr="0C058F1C" w:rsidR="0033119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brings together</w:t>
            </w:r>
            <w:r w:rsidRPr="0C058F1C" w:rsidR="007F611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the </w:t>
            </w:r>
            <w:r w:rsidRPr="0C058F1C" w:rsidR="00061286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threads</w:t>
            </w:r>
            <w:r w:rsidRPr="0C058F1C" w:rsidR="007F611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of </w:t>
            </w:r>
            <w:r w:rsidRPr="0C058F1C" w:rsidR="00EA02BD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listening, </w:t>
            </w:r>
            <w:r w:rsidRPr="0C058F1C" w:rsidR="007F611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performance and composition</w:t>
            </w:r>
            <w:r w:rsidRPr="0C058F1C" w:rsidR="003D621D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C058F1C" w:rsidR="0033119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and </w:t>
            </w:r>
            <w:r w:rsidRPr="0C058F1C" w:rsidR="00276DCD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follow</w:t>
            </w:r>
            <w:r w:rsidRPr="0C058F1C" w:rsidR="0033119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s</w:t>
            </w:r>
            <w:r w:rsidRPr="0C058F1C" w:rsidR="00276DCD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C058F1C" w:rsidR="00471A0F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the </w:t>
            </w:r>
            <w:r w:rsidRPr="0C058F1C" w:rsidR="0033119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integrated </w:t>
            </w:r>
            <w:r w:rsidRPr="0C058F1C" w:rsidR="00471A0F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portfolio</w:t>
            </w:r>
            <w:r w:rsidRPr="0C058F1C" w:rsidR="00276DCD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C058F1C" w:rsidR="00D348A4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design found</w:t>
            </w:r>
            <w:r w:rsidRPr="0C058F1C" w:rsidR="00276DCD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C058F1C" w:rsidR="00471A0F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in</w:t>
            </w:r>
            <w:r w:rsidRPr="0C058F1C" w:rsidR="00276DCD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AOS1 My Music</w:t>
            </w:r>
            <w:r w:rsidRPr="0C058F1C" w:rsidR="00276DCD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at GCSE</w:t>
            </w:r>
            <w:r w:rsidRPr="0C058F1C" w:rsidR="0046183A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.</w:t>
            </w:r>
            <w:r w:rsidRPr="0C058F1C" w:rsidR="0065671D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Pr="000F7AAC" w:rsidR="008E39B4" w:rsidP="0C058F1C" w:rsidRDefault="007A441F" w14:paraId="4C75361B" w14:textId="2A34DBB4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7A441F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As well as research </w:t>
            </w:r>
            <w:r w:rsidRPr="0C058F1C" w:rsidR="00F77F6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into the student’s chosen instrument</w:t>
            </w:r>
            <w:r w:rsidRPr="0C058F1C" w:rsidR="0033119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C058F1C" w:rsidR="00485AC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further </w:t>
            </w:r>
            <w:r w:rsidRPr="0C058F1C" w:rsidR="00AD53E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study is framed as</w:t>
            </w:r>
            <w:r w:rsidRPr="0C058F1C" w:rsidR="00F77F6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C058F1C" w:rsidR="007468C2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p</w:t>
            </w:r>
            <w:r w:rsidRPr="0C058F1C" w:rsidR="00D54BF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ractice routines</w:t>
            </w:r>
            <w:r w:rsidRPr="0C058F1C" w:rsidR="00AD53E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,</w:t>
            </w:r>
            <w:r w:rsidRPr="0C058F1C" w:rsidR="00D54BF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C058F1C" w:rsidR="0065671D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established </w:t>
            </w:r>
            <w:r w:rsidRPr="0C058F1C" w:rsidR="00F42B64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during the </w:t>
            </w:r>
            <w:r w:rsidRPr="0C058F1C" w:rsidR="00F42B64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Ensemble</w:t>
            </w:r>
            <w:r w:rsidRPr="0C058F1C" w:rsidR="00F42B64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units</w:t>
            </w:r>
            <w:r w:rsidRPr="0C058F1C" w:rsidR="00AD53E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, that culminate in </w:t>
            </w:r>
            <w:r w:rsidRPr="0C058F1C" w:rsidR="007A441F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a solo performance</w:t>
            </w:r>
            <w:r w:rsidRPr="0C058F1C" w:rsidR="00485AC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and an </w:t>
            </w:r>
            <w:r w:rsidRPr="0C058F1C" w:rsidR="00933CE9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intimate</w:t>
            </w:r>
            <w:r w:rsidRPr="0C058F1C" w:rsidR="00485AC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knowledge of a</w:t>
            </w:r>
            <w:r w:rsidRPr="0C058F1C" w:rsidR="00933CE9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n instrument specific</w:t>
            </w:r>
            <w:r w:rsidRPr="0C058F1C" w:rsidR="00485AC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C058F1C" w:rsidR="00933CE9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work</w:t>
            </w:r>
            <w:r w:rsidRPr="0C058F1C" w:rsidR="00AD53E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0C058F1C" w:rsidR="00933CE9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Students then develop this </w:t>
            </w:r>
            <w:r w:rsidRPr="0C058F1C" w:rsidR="000A7E4A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understanding </w:t>
            </w:r>
            <w:r w:rsidRPr="0C058F1C" w:rsidR="00F86B89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further </w:t>
            </w:r>
            <w:r w:rsidRPr="0C058F1C" w:rsidR="000A7E4A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by the application of </w:t>
            </w:r>
            <w:r w:rsidRPr="0C058F1C" w:rsidR="005E0196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compositional techniques explored in </w:t>
            </w:r>
            <w:r w:rsidRPr="0C058F1C" w:rsidR="005E0196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Scale and Chords</w:t>
            </w:r>
            <w:r w:rsidRPr="0C058F1C" w:rsidR="005E0196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C058F1C" w:rsidR="00F86B89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but </w:t>
            </w:r>
            <w:r w:rsidRPr="0C058F1C" w:rsidR="000F489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within the context of </w:t>
            </w:r>
            <w:r w:rsidRPr="0C058F1C" w:rsidR="00F86B89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their</w:t>
            </w:r>
            <w:r w:rsidRPr="0C058F1C" w:rsidR="00D348A4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instrument</w:t>
            </w:r>
            <w:r w:rsidRPr="0C058F1C" w:rsidR="008F1B56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F9765D" w:rsidR="008E39B4" w:rsidP="0C058F1C" w:rsidRDefault="008E39B4" w14:paraId="47A991E2" w14:textId="7376B834">
            <w:pPr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</w:pPr>
            <w:r w:rsidRPr="0C058F1C" w:rsidR="008E39B4"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Key Words</w:t>
            </w:r>
            <w:r w:rsidRPr="0C058F1C" w:rsidR="00811F13"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:</w:t>
            </w:r>
          </w:p>
          <w:p w:rsidR="00DB46D7" w:rsidP="0C058F1C" w:rsidRDefault="00DB46D7" w14:paraId="49624DF6" w14:textId="63E750A6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DB46D7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Range </w:t>
            </w:r>
          </w:p>
          <w:p w:rsidR="00DB46D7" w:rsidP="0C058F1C" w:rsidRDefault="00DB46D7" w14:paraId="3C0DE39F" w14:textId="135870FF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DB46D7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Timbre</w:t>
            </w:r>
          </w:p>
          <w:p w:rsidR="00F47D4C" w:rsidP="0C058F1C" w:rsidRDefault="00F47D4C" w14:paraId="42F3ABCC" w14:textId="7731C605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F47D4C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Intonation</w:t>
            </w:r>
          </w:p>
          <w:p w:rsidR="001615B7" w:rsidP="0C058F1C" w:rsidRDefault="001615B7" w14:paraId="48B15D8A" w14:textId="06EBFEE7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1615B7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Instrumental techniques</w:t>
            </w:r>
          </w:p>
          <w:p w:rsidR="00A214C9" w:rsidP="0C058F1C" w:rsidRDefault="00A214C9" w14:paraId="269EA3D5" w14:textId="1A8A4FD2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A214C9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Fluency</w:t>
            </w:r>
          </w:p>
          <w:p w:rsidR="00F47D4C" w:rsidP="0C058F1C" w:rsidRDefault="00F47D4C" w14:paraId="4724FDDC" w14:textId="591496A1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F47D4C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Genre</w:t>
            </w:r>
          </w:p>
          <w:p w:rsidR="001615B7" w:rsidP="0C058F1C" w:rsidRDefault="001615B7" w14:paraId="10CA3120" w14:textId="5BD78FB9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1615B7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Stylistic features</w:t>
            </w:r>
          </w:p>
          <w:p w:rsidR="001615B7" w:rsidP="0C058F1C" w:rsidRDefault="001615B7" w14:paraId="77B19720" w14:textId="7ED65BFC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1615B7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Technical exercises</w:t>
            </w:r>
          </w:p>
          <w:p w:rsidR="00735D50" w:rsidP="0C058F1C" w:rsidRDefault="00735D50" w14:paraId="0093C4F7" w14:textId="220AE4EB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735D5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Melody</w:t>
            </w:r>
          </w:p>
          <w:p w:rsidR="00735D50" w:rsidP="0C058F1C" w:rsidRDefault="00735D50" w14:paraId="16FCCDFC" w14:textId="5FADE4B0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735D5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Articulation</w:t>
            </w:r>
          </w:p>
          <w:p w:rsidR="00955FD5" w:rsidP="0C058F1C" w:rsidRDefault="00955FD5" w14:paraId="2D2B17BE" w14:textId="29507213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955FD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Dynamics</w:t>
            </w:r>
          </w:p>
          <w:p w:rsidR="00955FD5" w:rsidP="0C058F1C" w:rsidRDefault="00AB0A91" w14:paraId="0E351447" w14:textId="1877A900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AB0A9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Texture</w:t>
            </w:r>
          </w:p>
          <w:p w:rsidR="00AB0A91" w:rsidP="0C058F1C" w:rsidRDefault="00AB0A91" w14:paraId="419B2EBB" w14:textId="1D0DBEA6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AB0A9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Structure</w:t>
            </w:r>
          </w:p>
          <w:p w:rsidR="00AB0A91" w:rsidP="0C058F1C" w:rsidRDefault="00AB0A91" w14:paraId="1DD0C120" w14:textId="05D17F60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AB0A9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Rhythm</w:t>
            </w:r>
          </w:p>
          <w:p w:rsidR="00AB0A91" w:rsidP="0C058F1C" w:rsidRDefault="00AB0A91" w14:paraId="511037DA" w14:textId="6EF45516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AB0A9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Tempo</w:t>
            </w:r>
          </w:p>
          <w:p w:rsidR="004D20F5" w:rsidP="0C058F1C" w:rsidRDefault="004D20F5" w14:paraId="7F3D8600" w14:textId="5BA97A80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4D20F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Major/minor</w:t>
            </w:r>
            <w:r w:rsidRPr="0C058F1C" w:rsidR="00955FD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chords</w:t>
            </w:r>
          </w:p>
          <w:p w:rsidR="009060DC" w:rsidP="0C058F1C" w:rsidRDefault="009060DC" w14:paraId="03BECA47" w14:textId="254240DB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9060DC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Chord progression</w:t>
            </w:r>
          </w:p>
          <w:p w:rsidR="004D20F5" w:rsidP="0C058F1C" w:rsidRDefault="004D20F5" w14:paraId="29D6F590" w14:textId="468E64AB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4D20F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Keys</w:t>
            </w:r>
          </w:p>
          <w:p w:rsidR="008776F4" w:rsidP="0C058F1C" w:rsidRDefault="008776F4" w14:paraId="5FB8C903" w14:textId="57126CE3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8776F4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Key signature</w:t>
            </w:r>
          </w:p>
          <w:p w:rsidR="00C05C64" w:rsidP="0C058F1C" w:rsidRDefault="00C05C64" w14:paraId="79F7B13E" w14:textId="2EFBF11C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C05C64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Harmony</w:t>
            </w:r>
          </w:p>
          <w:p w:rsidR="009060DC" w:rsidP="0C058F1C" w:rsidRDefault="009060DC" w14:paraId="1DCCD571" w14:textId="77777777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9060DC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Chord notes</w:t>
            </w:r>
          </w:p>
          <w:p w:rsidR="0047324F" w:rsidP="0C058F1C" w:rsidRDefault="0047324F" w14:paraId="6C329DF3" w14:textId="77777777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47324F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Strong</w:t>
            </w:r>
            <w:r w:rsidRPr="0C058F1C" w:rsidR="004D76CD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/weak</w:t>
            </w:r>
            <w:r w:rsidRPr="0C058F1C" w:rsidR="0047324F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beats </w:t>
            </w:r>
          </w:p>
          <w:p w:rsidR="002B3A81" w:rsidP="0C058F1C" w:rsidRDefault="00915ED2" w14:paraId="7B08352D" w14:textId="723BEEDD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915ED2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Drum </w:t>
            </w:r>
            <w:r w:rsidRPr="0C058F1C" w:rsidR="00955FD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grooves</w:t>
            </w:r>
          </w:p>
          <w:p w:rsidR="00387CF4" w:rsidP="0C058F1C" w:rsidRDefault="00387CF4" w14:paraId="00478834" w14:textId="1CE515D9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387CF4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Coherence</w:t>
            </w:r>
          </w:p>
          <w:p w:rsidR="008F1F51" w:rsidP="0C058F1C" w:rsidRDefault="008F1F51" w14:paraId="1D5987D8" w14:textId="4B869AE9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8F1F5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Development</w:t>
            </w:r>
          </w:p>
          <w:p w:rsidR="00F47D4C" w:rsidP="0C058F1C" w:rsidRDefault="00F47D4C" w14:paraId="05F1C878" w14:textId="0A7DE36C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F47D4C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Intention</w:t>
            </w:r>
          </w:p>
          <w:p w:rsidR="009B2FAB" w:rsidP="0C058F1C" w:rsidRDefault="009B2FAB" w14:paraId="5EE615B4" w14:textId="77777777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</w:p>
          <w:p w:rsidRPr="00811F13" w:rsidR="00017E7D" w:rsidP="0C058F1C" w:rsidRDefault="00017E7D" w14:paraId="49147324" w14:textId="5B76E8C8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</w:p>
        </w:tc>
      </w:tr>
      <w:tr w:rsidRPr="00F9765D" w:rsidR="008E39B4" w:rsidTr="0C058F1C" w14:paraId="70713B32" w14:textId="77777777">
        <w:trPr>
          <w:trHeight w:val="3639"/>
        </w:trPr>
        <w:tc>
          <w:tcPr>
            <w:tcW w:w="8070" w:type="dxa"/>
            <w:gridSpan w:val="2"/>
            <w:shd w:val="clear" w:color="auto" w:fill="FFEFFF"/>
            <w:tcMar/>
          </w:tcPr>
          <w:p w:rsidR="008E39B4" w:rsidP="0C058F1C" w:rsidRDefault="008E39B4" w14:paraId="5B8AEB4C" w14:textId="5B50CB2F">
            <w:pPr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</w:pPr>
            <w:r w:rsidRPr="0C058F1C" w:rsidR="008E39B4"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What will we learn?</w:t>
            </w:r>
          </w:p>
          <w:p w:rsidR="0C058F1C" w:rsidP="0C058F1C" w:rsidRDefault="0C058F1C" w14:paraId="4542C3A0" w14:textId="02BC1C3A">
            <w:pPr>
              <w:pStyle w:val="Normal"/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</w:pPr>
          </w:p>
          <w:p w:rsidR="0C058F1C" w:rsidP="0C058F1C" w:rsidRDefault="0C058F1C" w14:paraId="7EA97C66" w14:textId="4FD7E132">
            <w:pPr>
              <w:pStyle w:val="Normal"/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</w:pPr>
            <w:r w:rsidRPr="0C058F1C" w:rsidR="0C058F1C">
              <w:rPr>
                <w:rFonts w:cs="Calibri" w:cstheme="minorAscii"/>
                <w:b w:val="0"/>
                <w:bCs w:val="0"/>
                <w:color w:val="522A5B"/>
                <w:sz w:val="22"/>
                <w:szCs w:val="22"/>
                <w:u w:val="none"/>
              </w:rPr>
              <w:t>Essential skills for performance, including:</w:t>
            </w:r>
          </w:p>
          <w:p w:rsidR="0C058F1C" w:rsidP="0C058F1C" w:rsidRDefault="0C058F1C" w14:paraId="6BE4ED27" w14:textId="6D575F7A">
            <w:pPr>
              <w:pStyle w:val="Normal"/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</w:pPr>
          </w:p>
          <w:p w:rsidR="00BA6F02" w:rsidP="0C058F1C" w:rsidRDefault="00BA6F02" w14:paraId="4C434815" w14:textId="77777777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BA6F02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HOW DO YOU KNOW IF YOU ARE IMPROVING?</w:t>
            </w:r>
          </w:p>
          <w:p w:rsidR="00BA6F02" w:rsidP="0C058F1C" w:rsidRDefault="00BA6F02" w14:paraId="4C313B8C" w14:textId="7BFB7D85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BA6F02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HOW DO YOU SET </w:t>
            </w:r>
            <w:r w:rsidRPr="0C058F1C" w:rsidR="000B2004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SMART</w:t>
            </w:r>
            <w:r w:rsidRPr="0C058F1C" w:rsidR="00BA6F02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TARGETS?</w:t>
            </w:r>
          </w:p>
          <w:p w:rsidR="00E575E2" w:rsidP="0C058F1C" w:rsidRDefault="008A0E5E" w14:paraId="7D714EB4" w14:textId="07B48344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8A0E5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WHAT TECHNICAL EXERCISES HELP </w:t>
            </w:r>
            <w:r w:rsidRPr="0C058F1C" w:rsidR="000B2004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TO</w:t>
            </w:r>
            <w:r w:rsidRPr="0C058F1C" w:rsidR="008A0E5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DEVELOP </w:t>
            </w:r>
            <w:r w:rsidRPr="0C058F1C" w:rsidR="006A1AAC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A GOOD TECHNIQUE</w:t>
            </w:r>
            <w:r w:rsidRPr="0C058F1C" w:rsidR="00921F46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?</w:t>
            </w:r>
          </w:p>
          <w:p w:rsidR="0058112B" w:rsidP="0C058F1C" w:rsidRDefault="008645FE" w14:paraId="1B08D080" w14:textId="10E431E9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8645F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HOW </w:t>
            </w:r>
            <w:r w:rsidRPr="0C058F1C" w:rsidR="002558C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DO</w:t>
            </w:r>
            <w:r w:rsidRPr="0C058F1C" w:rsidR="008645F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C058F1C" w:rsidR="009D487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YOU</w:t>
            </w:r>
            <w:r w:rsidRPr="0C058F1C" w:rsidR="00CF248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C058F1C" w:rsidR="009D487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TURN</w:t>
            </w:r>
            <w:r w:rsidRPr="0C058F1C" w:rsidR="00CF248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MUSICAL IDEA</w:t>
            </w:r>
            <w:r w:rsidRPr="0C058F1C" w:rsidR="005713D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S</w:t>
            </w:r>
            <w:r w:rsidRPr="0C058F1C" w:rsidR="00CF248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C058F1C" w:rsidR="009D487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ON YOUR INSTRUMENT INTO A COMPOSITION?</w:t>
            </w:r>
          </w:p>
          <w:p w:rsidRPr="00811F13" w:rsidR="00921F46" w:rsidP="0C058F1C" w:rsidRDefault="00921F46" w14:paraId="704CD9BE" w14:textId="440E8E2E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0C058F1C" w14:paraId="41DD1A54" w14:textId="77777777">
        <w:trPr>
          <w:trHeight w:val="4774"/>
        </w:trPr>
        <w:tc>
          <w:tcPr>
            <w:tcW w:w="8070" w:type="dxa"/>
            <w:gridSpan w:val="2"/>
            <w:shd w:val="clear" w:color="auto" w:fill="FFEFFF"/>
            <w:tcMar/>
          </w:tcPr>
          <w:p w:rsidRPr="00F9765D" w:rsidR="008E39B4" w:rsidP="0C058F1C" w:rsidRDefault="008E39B4" w14:paraId="42F8EE7E" w14:textId="77777777">
            <w:pPr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</w:pPr>
            <w:r w:rsidRPr="0C058F1C" w:rsidR="008E39B4"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What opportunities are there for wider study?</w:t>
            </w:r>
          </w:p>
          <w:p w:rsidR="008E0315" w:rsidP="0C058F1C" w:rsidRDefault="00842A81" w14:paraId="03A43951" w14:textId="06BFD83A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842A8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Performing and studying an instrument are supported through the Music Enrichment programme. </w:t>
            </w:r>
          </w:p>
          <w:p w:rsidR="00842A81" w:rsidP="0C058F1C" w:rsidRDefault="00842A81" w14:paraId="6D82801C" w14:textId="53D0C252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842A8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Students are expected to join one of the school ensembles to </w:t>
            </w:r>
            <w:r w:rsidRPr="0C058F1C" w:rsidR="00A009F8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improve</w:t>
            </w:r>
            <w:r w:rsidRPr="0C058F1C" w:rsidR="00842A8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perform</w:t>
            </w:r>
            <w:r w:rsidRPr="0C058F1C" w:rsidR="00A009F8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ance skills</w:t>
            </w:r>
            <w:r w:rsidRPr="0C058F1C" w:rsidR="007B5A07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r w:rsidRPr="0C058F1C" w:rsidR="007B5A07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will have the opportunity to perform regularly in school events and at events in the wider community.</w:t>
            </w:r>
          </w:p>
          <w:p w:rsidR="00842A81" w:rsidP="0C058F1C" w:rsidRDefault="00842A81" w14:paraId="427993F4" w14:textId="26404E40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842A8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Students </w:t>
            </w:r>
            <w:r w:rsidRPr="0C058F1C" w:rsidR="00B93134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who</w:t>
            </w:r>
            <w:r w:rsidRPr="0C058F1C" w:rsidR="00842A8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take up music lessons with a specialist instrumental teacher either through the school or privately</w:t>
            </w:r>
            <w:r w:rsidRPr="0C058F1C" w:rsidR="00B93134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C058F1C" w:rsidR="005620B8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tend to make much faster progress in</w:t>
            </w:r>
            <w:r w:rsidRPr="0C058F1C" w:rsidR="00B93134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develop</w:t>
            </w:r>
            <w:r w:rsidRPr="0C058F1C" w:rsidR="005620B8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ing</w:t>
            </w:r>
            <w:r w:rsidRPr="0C058F1C" w:rsidR="00B93134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technique</w:t>
            </w:r>
          </w:p>
          <w:p w:rsidR="00081EC4" w:rsidP="0C058F1C" w:rsidRDefault="00842A81" w14:paraId="38865BC4" w14:textId="26F813A3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842A8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Students can book the practice rooms to rehearse an independent performance either as a soloist or as a group and audition for the Christmas/summer concerts, Live Lounge or Chip Friday events</w:t>
            </w:r>
          </w:p>
          <w:p w:rsidR="003975C2" w:rsidP="0C058F1C" w:rsidRDefault="003975C2" w14:paraId="161625BD" w14:textId="4E390D6B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3975C2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Composition </w:t>
            </w:r>
            <w:r w:rsidRPr="0C058F1C" w:rsidR="00DC6B4F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is also </w:t>
            </w:r>
            <w:r w:rsidRPr="0C058F1C" w:rsidR="00DC6B4F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supported through the Music Enrichment programme. </w:t>
            </w:r>
          </w:p>
          <w:p w:rsidRPr="00811F13" w:rsidR="003975C2" w:rsidP="0C058F1C" w:rsidRDefault="007C3747" w14:paraId="001E2D6F" w14:textId="25F089A0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7C3747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The </w:t>
            </w:r>
            <w:r w:rsidRPr="0C058F1C" w:rsidR="003975C2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Music Theory </w:t>
            </w:r>
            <w:r w:rsidRPr="0C058F1C" w:rsidR="00DC6B4F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and Music Production </w:t>
            </w:r>
            <w:r w:rsidRPr="0C058F1C" w:rsidR="007C3747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courses </w:t>
            </w:r>
            <w:r w:rsidRPr="0C058F1C" w:rsidR="00195FC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have opportunities for students to deepen their understanding of </w:t>
            </w:r>
            <w:r w:rsidRPr="0C058F1C" w:rsidR="00B27632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musical devices and </w:t>
            </w:r>
            <w:r w:rsidRPr="0C058F1C" w:rsidR="007C3747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compositional </w:t>
            </w:r>
            <w:r w:rsidRPr="0C058F1C" w:rsidR="00B27632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technique</w:t>
            </w:r>
            <w:r w:rsidRPr="0C058F1C" w:rsidR="000F6E59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0C058F1C" w14:paraId="08B85AF4" w14:textId="77777777">
        <w:trPr>
          <w:trHeight w:val="558"/>
        </w:trPr>
        <w:tc>
          <w:tcPr>
            <w:tcW w:w="8070" w:type="dxa"/>
            <w:gridSpan w:val="2"/>
            <w:shd w:val="clear" w:color="auto" w:fill="FFEFFF"/>
            <w:tcMar/>
          </w:tcPr>
          <w:p w:rsidRPr="0083335D" w:rsidR="008E39B4" w:rsidP="0C058F1C" w:rsidRDefault="008E39B4" w14:paraId="5A47D04C" w14:textId="77777777">
            <w:pPr>
              <w:rPr>
                <w:rFonts w:cs="Calibri" w:cstheme="minorAscii"/>
                <w:b w:val="1"/>
                <w:bCs w:val="1"/>
                <w:color w:val="461E64"/>
                <w:sz w:val="22"/>
                <w:szCs w:val="22"/>
                <w:u w:val="single"/>
              </w:rPr>
            </w:pPr>
            <w:r w:rsidRPr="0C058F1C" w:rsidR="008E39B4">
              <w:rPr>
                <w:rFonts w:cs="Calibri" w:cstheme="minorAscii"/>
                <w:b w:val="1"/>
                <w:bCs w:val="1"/>
                <w:color w:val="461E64"/>
                <w:sz w:val="22"/>
                <w:szCs w:val="22"/>
                <w:u w:val="single"/>
              </w:rPr>
              <w:t>How will I be assessed?</w:t>
            </w:r>
          </w:p>
          <w:p w:rsidRPr="00BB71F8" w:rsidR="00811F13" w:rsidP="0C058F1C" w:rsidRDefault="00711E6B" w14:paraId="5AA3A0AB" w14:textId="78F45AE9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0C058F1C" w:rsidR="00711E6B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Solo </w:t>
            </w:r>
            <w:r w:rsidRPr="0C058F1C" w:rsidR="00112802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performance</w:t>
            </w:r>
          </w:p>
          <w:p w:rsidRPr="009122B9" w:rsidR="00811F13" w:rsidP="0C058F1C" w:rsidRDefault="00112802" w14:paraId="7C953E82" w14:textId="559FED8C">
            <w:pPr>
              <w:rPr>
                <w:rFonts w:cs="Calibri" w:cstheme="minorAscii"/>
                <w:sz w:val="22"/>
                <w:szCs w:val="22"/>
              </w:rPr>
            </w:pPr>
            <w:r w:rsidRPr="0C058F1C" w:rsidR="00112802">
              <w:rPr>
                <w:rFonts w:cs="Calibri" w:cstheme="minorAscii"/>
                <w:sz w:val="22"/>
                <w:szCs w:val="22"/>
              </w:rPr>
              <w:t>Composition</w:t>
            </w:r>
            <w:r w:rsidRPr="0C058F1C" w:rsidR="008F1F51">
              <w:rPr>
                <w:rFonts w:cs="Calibri" w:cstheme="minorAscii"/>
                <w:sz w:val="22"/>
                <w:szCs w:val="22"/>
              </w:rPr>
              <w:t xml:space="preserve"> task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P="008E39B4" w:rsidRDefault="00D33DE4" w14:paraId="42B3A29B" w14:textId="0B62E13D"/>
    <w:p w:rsidR="005F5A18" w:rsidP="008E39B4" w:rsidRDefault="005F5A18" w14:paraId="6B678580" w14:textId="4762DE67"/>
    <w:p w:rsidR="00BE0346" w:rsidP="008E39B4" w:rsidRDefault="00BE0346" w14:paraId="36FADF86" w14:textId="397B65F5"/>
    <w:p w:rsidR="003B458C" w:rsidP="008E39B4" w:rsidRDefault="003B458C" w14:paraId="3453F678" w14:textId="360B00DF">
      <w:pPr>
        <w:rPr>
          <w:b/>
          <w:bCs/>
        </w:rPr>
      </w:pPr>
      <w:r>
        <w:rPr>
          <w:b/>
          <w:bCs/>
        </w:rPr>
        <w:t>Performance success criteria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Pr="00FB5CCC" w:rsidR="00524B16" w:rsidTr="00AF5F4C" w14:paraId="79A30A98" w14:textId="77777777">
        <w:tc>
          <w:tcPr>
            <w:tcW w:w="9356" w:type="dxa"/>
            <w:shd w:val="clear" w:color="auto" w:fill="FFE599" w:themeFill="accent4" w:themeFillTint="66"/>
          </w:tcPr>
          <w:p w:rsidRPr="00FB5CCC" w:rsidR="00524B16" w:rsidP="00AF5F4C" w:rsidRDefault="00524B16" w14:paraId="7F6C526D" w14:textId="77777777">
            <w:pPr>
              <w:rPr>
                <w:sz w:val="18"/>
                <w:szCs w:val="18"/>
              </w:rPr>
            </w:pPr>
            <w:r w:rsidRPr="00FB5CCC">
              <w:rPr>
                <w:sz w:val="18"/>
                <w:szCs w:val="18"/>
              </w:rPr>
              <w:t>Excellence</w:t>
            </w:r>
          </w:p>
        </w:tc>
      </w:tr>
      <w:tr w:rsidRPr="00FB5CCC" w:rsidR="00524B16" w:rsidTr="00AF5F4C" w14:paraId="3B54FD43" w14:textId="77777777">
        <w:tc>
          <w:tcPr>
            <w:tcW w:w="9356" w:type="dxa"/>
            <w:tcBorders>
              <w:bottom w:val="single" w:color="auto" w:sz="4" w:space="0"/>
            </w:tcBorders>
          </w:tcPr>
          <w:p w:rsidRPr="00197062" w:rsidR="00524B16" w:rsidP="00AF5F4C" w:rsidRDefault="00524B16" w14:paraId="7EDA51BD" w14:textId="77777777">
            <w:pPr>
              <w:rPr>
                <w:b/>
                <w:noProof/>
                <w:sz w:val="18"/>
                <w:szCs w:val="18"/>
                <w:lang w:eastAsia="en-GB"/>
              </w:rPr>
            </w:pPr>
            <w:r w:rsidRPr="00197062">
              <w:rPr>
                <w:b/>
                <w:noProof/>
                <w:sz w:val="18"/>
                <w:szCs w:val="18"/>
                <w:lang w:eastAsia="en-GB"/>
              </w:rPr>
              <w:t>Technical Control and Fluency</w:t>
            </w:r>
            <w:r w:rsidRPr="00197062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  <w:t>:</w:t>
            </w:r>
          </w:p>
          <w:p w:rsidRPr="00197062" w:rsidR="00524B16" w:rsidP="00AF5F4C" w:rsidRDefault="00524B16" w14:paraId="187ECEDA" w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97062">
              <w:rPr>
                <w:rFonts w:ascii="Calibri" w:hAnsi="Calibri" w:cs="Calibri"/>
              </w:rPr>
              <w:t>The performance is confident, accurate and fluent with good technical control appropriate to the</w:t>
            </w:r>
            <w:r>
              <w:rPr>
                <w:rFonts w:ascii="Calibri" w:hAnsi="Calibri" w:cs="Calibri"/>
              </w:rPr>
              <w:t xml:space="preserve"> </w:t>
            </w:r>
            <w:r w:rsidRPr="00197062">
              <w:rPr>
                <w:rFonts w:ascii="Calibri" w:hAnsi="Calibri" w:cs="Calibri"/>
              </w:rPr>
              <w:t>demand of the music.</w:t>
            </w:r>
            <w:r w:rsidRPr="0019706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</w:rPr>
              <w:t>Intonation and tone production are good.</w:t>
            </w:r>
          </w:p>
          <w:p w:rsidRPr="00197062" w:rsidR="00524B16" w:rsidP="00AF5F4C" w:rsidRDefault="00524B16" w14:paraId="42E7F466" w14:textId="7756F899">
            <w:pP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</w:pPr>
            <w:r w:rsidRPr="00197062">
              <w:rPr>
                <w:b/>
                <w:noProof/>
                <w:sz w:val="18"/>
                <w:szCs w:val="18"/>
                <w:lang w:eastAsia="en-GB"/>
              </w:rPr>
              <w:t>Expression</w:t>
            </w:r>
            <w:r w:rsidR="002768CD">
              <w:rPr>
                <w:b/>
                <w:noProof/>
                <w:sz w:val="18"/>
                <w:szCs w:val="18"/>
                <w:lang w:eastAsia="en-GB"/>
              </w:rPr>
              <w:t xml:space="preserve"> &amp;</w:t>
            </w:r>
            <w:r w:rsidRPr="00197062">
              <w:rPr>
                <w:b/>
                <w:noProof/>
                <w:sz w:val="18"/>
                <w:szCs w:val="18"/>
                <w:lang w:eastAsia="en-GB"/>
              </w:rPr>
              <w:t xml:space="preserve"> interpretation</w:t>
            </w:r>
            <w:r w:rsidRPr="00197062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  <w:t>:</w:t>
            </w:r>
          </w:p>
          <w:p w:rsidR="00524B16" w:rsidP="00C24CE6" w:rsidRDefault="00524B16" w14:paraId="2D157B03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highly expressive performance that is communicated musically and stylishly.</w:t>
            </w:r>
          </w:p>
          <w:p w:rsidRPr="004422EE" w:rsidR="004422EE" w:rsidP="004422EE" w:rsidRDefault="004422EE" w14:paraId="72156F1F" w14:textId="487AE0F9">
            <w:pPr>
              <w:ind w:left="360"/>
              <w:rPr>
                <w:rFonts w:ascii="Calibri" w:hAnsi="Calibri" w:cs="Calibri"/>
                <w:color w:val="000000"/>
              </w:rPr>
            </w:pPr>
          </w:p>
        </w:tc>
      </w:tr>
      <w:tr w:rsidRPr="00FB5CCC" w:rsidR="00524B16" w:rsidTr="00AF5F4C" w14:paraId="6C61D62E" w14:textId="77777777">
        <w:tc>
          <w:tcPr>
            <w:tcW w:w="9356" w:type="dxa"/>
            <w:shd w:val="clear" w:color="auto" w:fill="FFE599" w:themeFill="accent4" w:themeFillTint="66"/>
          </w:tcPr>
          <w:p w:rsidRPr="00FB5CCC" w:rsidR="00524B16" w:rsidP="00AF5F4C" w:rsidRDefault="00524B16" w14:paraId="4684B6B3" w14:textId="77777777">
            <w:pPr>
              <w:rPr>
                <w:sz w:val="18"/>
                <w:szCs w:val="18"/>
              </w:rPr>
            </w:pPr>
            <w:r w:rsidRPr="00FB5CCC">
              <w:rPr>
                <w:sz w:val="18"/>
                <w:szCs w:val="18"/>
              </w:rPr>
              <w:t>Secure</w:t>
            </w:r>
          </w:p>
        </w:tc>
      </w:tr>
      <w:tr w:rsidRPr="00FB5CCC" w:rsidR="00524B16" w:rsidTr="00AF5F4C" w14:paraId="56695C63" w14:textId="77777777">
        <w:tc>
          <w:tcPr>
            <w:tcW w:w="9356" w:type="dxa"/>
            <w:tcBorders>
              <w:bottom w:val="single" w:color="auto" w:sz="4" w:space="0"/>
            </w:tcBorders>
          </w:tcPr>
          <w:p w:rsidRPr="00197062" w:rsidR="00524B16" w:rsidP="00AF5F4C" w:rsidRDefault="00524B16" w14:paraId="006284CC" w14:textId="77777777">
            <w:pPr>
              <w:rPr>
                <w:b/>
                <w:noProof/>
                <w:sz w:val="18"/>
                <w:szCs w:val="18"/>
                <w:lang w:eastAsia="en-GB"/>
              </w:rPr>
            </w:pPr>
            <w:r w:rsidRPr="00197062">
              <w:rPr>
                <w:b/>
                <w:noProof/>
                <w:sz w:val="18"/>
                <w:szCs w:val="18"/>
                <w:lang w:eastAsia="en-GB"/>
              </w:rPr>
              <w:t>Technical Control and Fluency</w:t>
            </w:r>
            <w:r w:rsidRPr="00197062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  <w:t>:</w:t>
            </w:r>
          </w:p>
          <w:p w:rsidRPr="00197062" w:rsidR="00524B16" w:rsidP="00AF5F4C" w:rsidRDefault="00524B16" w14:paraId="5E8D30BE" w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197062">
              <w:rPr>
                <w:rFonts w:ascii="Calibri" w:hAnsi="Calibri" w:cs="Calibri"/>
                <w:color w:val="000000"/>
              </w:rPr>
              <w:t>The performance is predominantly fluent</w:t>
            </w:r>
            <w:r w:rsidRPr="00197062">
              <w:rPr>
                <w:rFonts w:ascii="Calibri" w:hAnsi="Calibri" w:cs="Calibri"/>
              </w:rPr>
              <w:t>, with technical control adequate to the demand of the</w:t>
            </w:r>
            <w:r>
              <w:rPr>
                <w:rFonts w:ascii="Calibri" w:hAnsi="Calibri" w:cs="Calibri"/>
              </w:rPr>
              <w:t xml:space="preserve"> </w:t>
            </w:r>
            <w:r w:rsidRPr="00197062">
              <w:rPr>
                <w:rFonts w:ascii="Calibri" w:hAnsi="Calibri" w:cs="Calibri"/>
              </w:rPr>
              <w:t>music.</w:t>
            </w:r>
            <w:r>
              <w:rPr>
                <w:rFonts w:ascii="Calibri" w:hAnsi="Calibri" w:cs="Calibri"/>
              </w:rPr>
              <w:t xml:space="preserve"> Intonation and tone production are generally secure.</w:t>
            </w:r>
          </w:p>
          <w:p w:rsidRPr="00197062" w:rsidR="00524B16" w:rsidP="00AF5F4C" w:rsidRDefault="00524B16" w14:paraId="66AFC0EF" w14:textId="2194A4D3">
            <w:pP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</w:pPr>
            <w:r w:rsidRPr="00197062">
              <w:rPr>
                <w:b/>
                <w:noProof/>
                <w:sz w:val="18"/>
                <w:szCs w:val="18"/>
                <w:lang w:eastAsia="en-GB"/>
              </w:rPr>
              <w:t>Expression</w:t>
            </w:r>
            <w:r w:rsidR="002768CD">
              <w:rPr>
                <w:b/>
                <w:noProof/>
                <w:sz w:val="18"/>
                <w:szCs w:val="18"/>
                <w:lang w:eastAsia="en-GB"/>
              </w:rPr>
              <w:t xml:space="preserve"> &amp;</w:t>
            </w:r>
            <w:r w:rsidRPr="00197062">
              <w:rPr>
                <w:b/>
                <w:noProof/>
                <w:sz w:val="18"/>
                <w:szCs w:val="18"/>
                <w:lang w:eastAsia="en-GB"/>
              </w:rPr>
              <w:t xml:space="preserve"> interpretation</w:t>
            </w:r>
            <w:r w:rsidRPr="00197062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  <w:t>:</w:t>
            </w:r>
          </w:p>
          <w:p w:rsidRPr="00197062" w:rsidR="00524B16" w:rsidP="00AF5F4C" w:rsidRDefault="00524B16" w14:paraId="7F897AC5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The </w:t>
            </w:r>
            <w:r>
              <w:rPr>
                <w:rFonts w:ascii="Calibri" w:hAnsi="Calibri" w:cs="Calibri"/>
              </w:rPr>
              <w:t>performance communicates some appropriate dynamics and articulation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Pr="007468E0" w:rsidR="00524B16" w:rsidP="002768CD" w:rsidRDefault="00524B16" w14:paraId="7071BCEA" w14:textId="4F709F2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FB5CCC" w:rsidR="00524B16" w:rsidTr="00AF5F4C" w14:paraId="54A30D79" w14:textId="77777777">
        <w:tc>
          <w:tcPr>
            <w:tcW w:w="9356" w:type="dxa"/>
            <w:shd w:val="clear" w:color="auto" w:fill="FFE599" w:themeFill="accent4" w:themeFillTint="66"/>
          </w:tcPr>
          <w:p w:rsidRPr="00FB5CCC" w:rsidR="00524B16" w:rsidP="00AF5F4C" w:rsidRDefault="00524B16" w14:paraId="230A13B7" w14:textId="77777777">
            <w:pPr>
              <w:rPr>
                <w:sz w:val="18"/>
                <w:szCs w:val="18"/>
              </w:rPr>
            </w:pPr>
            <w:r w:rsidRPr="00FB5CCC">
              <w:rPr>
                <w:sz w:val="18"/>
                <w:szCs w:val="18"/>
              </w:rPr>
              <w:t>Developing</w:t>
            </w:r>
          </w:p>
        </w:tc>
      </w:tr>
      <w:tr w:rsidRPr="00FB5CCC" w:rsidR="00524B16" w:rsidTr="00AF5F4C" w14:paraId="142FF4EC" w14:textId="77777777">
        <w:tc>
          <w:tcPr>
            <w:tcW w:w="9356" w:type="dxa"/>
            <w:tcBorders>
              <w:bottom w:val="single" w:color="auto" w:sz="4" w:space="0"/>
            </w:tcBorders>
          </w:tcPr>
          <w:p w:rsidRPr="00417B78" w:rsidR="00524B16" w:rsidP="00AF5F4C" w:rsidRDefault="00524B16" w14:paraId="0E48CB6E" w14:textId="77777777">
            <w:pPr>
              <w:rPr>
                <w:noProof/>
                <w:lang w:eastAsia="en-GB"/>
              </w:rPr>
            </w:pPr>
            <w:r w:rsidRPr="00197062">
              <w:rPr>
                <w:b/>
                <w:noProof/>
                <w:sz w:val="18"/>
                <w:szCs w:val="18"/>
                <w:lang w:eastAsia="en-GB"/>
              </w:rPr>
              <w:t>Technical Control and Fluency</w:t>
            </w:r>
            <w:r w:rsidRPr="00197062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  <w:t>:</w:t>
            </w:r>
          </w:p>
          <w:p w:rsidR="00524B16" w:rsidP="00AF5F4C" w:rsidRDefault="00524B16" w14:paraId="19B0E0BA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The performance has some fluency with mostly correct rhythms and pitches. Intonation is partially secure.</w:t>
            </w:r>
          </w:p>
          <w:p w:rsidRPr="00197062" w:rsidR="00524B16" w:rsidP="00AF5F4C" w:rsidRDefault="00524B16" w14:paraId="6302C0D1" w14:textId="6C1BBE07">
            <w:pP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</w:pPr>
            <w:r w:rsidRPr="00197062">
              <w:rPr>
                <w:b/>
                <w:noProof/>
                <w:sz w:val="18"/>
                <w:szCs w:val="18"/>
                <w:lang w:eastAsia="en-GB"/>
              </w:rPr>
              <w:t>Expression</w:t>
            </w:r>
            <w:r w:rsidR="001B13D0">
              <w:rPr>
                <w:b/>
                <w:noProof/>
                <w:sz w:val="18"/>
                <w:szCs w:val="18"/>
                <w:lang w:eastAsia="en-GB"/>
              </w:rPr>
              <w:t xml:space="preserve"> &amp; </w:t>
            </w:r>
            <w:r w:rsidRPr="00197062">
              <w:rPr>
                <w:b/>
                <w:noProof/>
                <w:sz w:val="18"/>
                <w:szCs w:val="18"/>
                <w:lang w:eastAsia="en-GB"/>
              </w:rPr>
              <w:t>interpretations</w:t>
            </w:r>
            <w:r w:rsidRPr="00197062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  <w:t>:</w:t>
            </w:r>
          </w:p>
          <w:p w:rsidRPr="006662B1" w:rsidR="00524B16" w:rsidP="00AF5F4C" w:rsidRDefault="00524B16" w14:paraId="7BAC0EAE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performance has some dynamic contrast and has a sense of direction.</w:t>
            </w:r>
          </w:p>
          <w:p w:rsidRPr="00FB5CCC" w:rsidR="00524B16" w:rsidP="001B13D0" w:rsidRDefault="00524B16" w14:paraId="54491ED0" w14:textId="6E72E2FC">
            <w:pPr>
              <w:rPr>
                <w:sz w:val="18"/>
                <w:szCs w:val="18"/>
              </w:rPr>
            </w:pPr>
          </w:p>
        </w:tc>
      </w:tr>
      <w:tr w:rsidRPr="00FB5CCC" w:rsidR="00524B16" w:rsidTr="00AF5F4C" w14:paraId="6A06F3DB" w14:textId="77777777">
        <w:tc>
          <w:tcPr>
            <w:tcW w:w="9356" w:type="dxa"/>
            <w:shd w:val="clear" w:color="auto" w:fill="FFE599" w:themeFill="accent4" w:themeFillTint="66"/>
          </w:tcPr>
          <w:p w:rsidRPr="00FB5CCC" w:rsidR="00524B16" w:rsidP="00AF5F4C" w:rsidRDefault="00524B16" w14:paraId="0ED3AFAB" w14:textId="77777777">
            <w:pPr>
              <w:rPr>
                <w:sz w:val="18"/>
                <w:szCs w:val="18"/>
              </w:rPr>
            </w:pPr>
            <w:r w:rsidRPr="00FB5CCC">
              <w:rPr>
                <w:sz w:val="18"/>
                <w:szCs w:val="18"/>
              </w:rPr>
              <w:t>Foundation</w:t>
            </w:r>
          </w:p>
        </w:tc>
      </w:tr>
      <w:tr w:rsidRPr="00FB5CCC" w:rsidR="00524B16" w:rsidTr="00AF5F4C" w14:paraId="7FFF9C3A" w14:textId="77777777">
        <w:tc>
          <w:tcPr>
            <w:tcW w:w="9356" w:type="dxa"/>
          </w:tcPr>
          <w:p w:rsidRPr="00417B78" w:rsidR="00524B16" w:rsidP="00AF5F4C" w:rsidRDefault="00524B16" w14:paraId="27C6165D" w14:textId="77777777">
            <w:pPr>
              <w:rPr>
                <w:noProof/>
                <w:lang w:eastAsia="en-GB"/>
              </w:rPr>
            </w:pPr>
            <w:r w:rsidRPr="00197062">
              <w:rPr>
                <w:b/>
                <w:noProof/>
                <w:sz w:val="18"/>
                <w:szCs w:val="18"/>
                <w:lang w:eastAsia="en-GB"/>
              </w:rPr>
              <w:t>Technical Control and Fluency</w:t>
            </w:r>
            <w:r w:rsidRPr="00197062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  <w:t>:</w:t>
            </w:r>
          </w:p>
          <w:p w:rsidRPr="008B3C88" w:rsidR="00524B16" w:rsidP="00AF5F4C" w:rsidRDefault="00524B16" w14:paraId="7554C6A6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There is an understanding of fluency and the performance shows evidence of working towards</w:t>
            </w:r>
            <w:r>
              <w:rPr>
                <w:rFonts w:ascii="Calibri" w:hAnsi="Calibri" w:cs="Calibri"/>
              </w:rPr>
              <w:t xml:space="preserve"> correct rhythms and pitches</w:t>
            </w:r>
          </w:p>
          <w:p w:rsidRPr="00197062" w:rsidR="00524B16" w:rsidP="00AF5F4C" w:rsidRDefault="00524B16" w14:paraId="03930900" w14:textId="1AB6E691">
            <w:pP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</w:pPr>
            <w:r w:rsidRPr="00197062">
              <w:rPr>
                <w:b/>
                <w:noProof/>
                <w:sz w:val="18"/>
                <w:szCs w:val="18"/>
                <w:lang w:eastAsia="en-GB"/>
              </w:rPr>
              <w:t>Expression</w:t>
            </w:r>
            <w:r w:rsidR="001B13D0">
              <w:rPr>
                <w:b/>
                <w:noProof/>
                <w:sz w:val="18"/>
                <w:szCs w:val="18"/>
                <w:lang w:eastAsia="en-GB"/>
              </w:rPr>
              <w:t xml:space="preserve"> &amp;</w:t>
            </w:r>
            <w:r w:rsidRPr="00197062">
              <w:rPr>
                <w:b/>
                <w:noProof/>
                <w:sz w:val="18"/>
                <w:szCs w:val="18"/>
                <w:lang w:eastAsia="en-GB"/>
              </w:rPr>
              <w:t xml:space="preserve"> interpretation</w:t>
            </w:r>
            <w:r w:rsidRPr="00197062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  <w:t>:</w:t>
            </w:r>
          </w:p>
          <w:p w:rsidRPr="006662B1" w:rsidR="00524B16" w:rsidP="00AF5F4C" w:rsidRDefault="00524B16" w14:paraId="3ACCEEF6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The performance is communicated in a simple way with some success.</w:t>
            </w:r>
          </w:p>
          <w:p w:rsidRPr="00FB5CCC" w:rsidR="00524B16" w:rsidP="001B13D0" w:rsidRDefault="00524B16" w14:paraId="644D2E8C" w14:textId="56F80FAA">
            <w:pPr>
              <w:rPr>
                <w:sz w:val="18"/>
                <w:szCs w:val="18"/>
              </w:rPr>
            </w:pPr>
          </w:p>
        </w:tc>
      </w:tr>
    </w:tbl>
    <w:p w:rsidR="003B458C" w:rsidP="008E39B4" w:rsidRDefault="003B458C" w14:paraId="48FEB279" w14:textId="77777777">
      <w:pPr>
        <w:rPr>
          <w:b/>
          <w:bCs/>
        </w:rPr>
      </w:pPr>
    </w:p>
    <w:p w:rsidRPr="003B458C" w:rsidR="003D242D" w:rsidP="008E39B4" w:rsidRDefault="003D242D" w14:paraId="41F370AD" w14:textId="33B91954">
      <w:pPr>
        <w:rPr>
          <w:b/>
          <w:bCs/>
        </w:rPr>
      </w:pPr>
      <w:r w:rsidRPr="003B458C">
        <w:rPr>
          <w:b/>
          <w:bCs/>
        </w:rPr>
        <w:t>Compos</w:t>
      </w:r>
      <w:r w:rsidRPr="003B458C" w:rsidR="003B458C">
        <w:rPr>
          <w:b/>
          <w:bCs/>
        </w:rPr>
        <w:t xml:space="preserve">ition </w:t>
      </w:r>
      <w:r w:rsidR="003B458C">
        <w:rPr>
          <w:b/>
          <w:bCs/>
        </w:rPr>
        <w:t xml:space="preserve">success </w:t>
      </w:r>
      <w:r w:rsidRPr="003B458C" w:rsidR="003B458C">
        <w:rPr>
          <w:b/>
          <w:bCs/>
        </w:rPr>
        <w:t>criteria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Pr="00FB5CCC" w:rsidR="007503DB" w:rsidTr="00AF5F4C" w14:paraId="74FF96D3" w14:textId="77777777">
        <w:tc>
          <w:tcPr>
            <w:tcW w:w="9356" w:type="dxa"/>
            <w:shd w:val="clear" w:color="auto" w:fill="FFE599" w:themeFill="accent4" w:themeFillTint="66"/>
          </w:tcPr>
          <w:p w:rsidRPr="00FB5CCC" w:rsidR="007503DB" w:rsidP="00AF5F4C" w:rsidRDefault="007503DB" w14:paraId="345D2921" w14:textId="77777777">
            <w:pPr>
              <w:rPr>
                <w:sz w:val="18"/>
                <w:szCs w:val="18"/>
              </w:rPr>
            </w:pPr>
            <w:r w:rsidRPr="00FB5CCC">
              <w:rPr>
                <w:sz w:val="18"/>
                <w:szCs w:val="18"/>
              </w:rPr>
              <w:t>Excellence</w:t>
            </w:r>
          </w:p>
        </w:tc>
      </w:tr>
      <w:tr w:rsidRPr="00FB5CCC" w:rsidR="007503DB" w:rsidTr="00AF5F4C" w14:paraId="42A1F963" w14:textId="77777777">
        <w:tc>
          <w:tcPr>
            <w:tcW w:w="9356" w:type="dxa"/>
            <w:tcBorders>
              <w:bottom w:val="single" w:color="auto" w:sz="4" w:space="0"/>
            </w:tcBorders>
          </w:tcPr>
          <w:p w:rsidRPr="005C55C9" w:rsidR="007503DB" w:rsidP="00AF5F4C" w:rsidRDefault="007503DB" w14:paraId="0C4A1391" w14:textId="77777777">
            <w:pPr>
              <w:rPr>
                <w:b/>
                <w:noProof/>
                <w:sz w:val="18"/>
                <w:szCs w:val="18"/>
                <w:lang w:eastAsia="en-GB"/>
              </w:rPr>
            </w:pPr>
            <w:r w:rsidRPr="005C55C9">
              <w:rPr>
                <w:b/>
                <w:noProof/>
                <w:sz w:val="18"/>
                <w:szCs w:val="18"/>
                <w:lang w:eastAsia="en-GB"/>
              </w:rPr>
              <w:t xml:space="preserve">Musical elements </w:t>
            </w:r>
          </w:p>
          <w:p w:rsidRPr="00417B78" w:rsidR="007503DB" w:rsidP="007503DB" w:rsidRDefault="007503DB" w14:paraId="10DD5F58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There is a wide variety and/or advanced use of musical elements which demonstrate a high level of musical understanding.</w:t>
            </w:r>
          </w:p>
          <w:p w:rsidRPr="00C820DC" w:rsidR="007503DB" w:rsidP="00AF5F4C" w:rsidRDefault="007503DB" w14:paraId="179F7941" w14:textId="77777777">
            <w:pP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  <w:t>Development of ideas</w:t>
            </w:r>
          </w:p>
          <w:p w:rsidR="007503DB" w:rsidP="007503DB" w:rsidRDefault="007503DB" w14:paraId="5BFB74A0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Excellent development of ideas using compositional techniques applied in an entirely appropriate and stylistic way.</w:t>
            </w:r>
          </w:p>
          <w:p w:rsidRPr="005C55C9" w:rsidR="007503DB" w:rsidP="00AF5F4C" w:rsidRDefault="007503DB" w14:paraId="58B5F8F0" w14:textId="77777777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5C55C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Intention</w:t>
            </w:r>
          </w:p>
          <w:p w:rsidRPr="00032FB8" w:rsidR="007503DB" w:rsidP="007503DB" w:rsidRDefault="007503DB" w14:paraId="581BEEB8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 w:rsidRPr="00030701">
              <w:rPr>
                <w:rFonts w:ascii="Calibri" w:hAnsi="Calibri" w:cs="Calibri"/>
                <w:color w:val="000000"/>
              </w:rPr>
              <w:t>The composer’s intentions are clear throughout and the composition is highly imaginative.</w:t>
            </w:r>
          </w:p>
        </w:tc>
      </w:tr>
      <w:tr w:rsidRPr="00FB5CCC" w:rsidR="007503DB" w:rsidTr="00AF5F4C" w14:paraId="3C331026" w14:textId="77777777">
        <w:tc>
          <w:tcPr>
            <w:tcW w:w="9356" w:type="dxa"/>
            <w:shd w:val="clear" w:color="auto" w:fill="FFE599" w:themeFill="accent4" w:themeFillTint="66"/>
          </w:tcPr>
          <w:p w:rsidRPr="00FB5CCC" w:rsidR="007503DB" w:rsidP="00AF5F4C" w:rsidRDefault="007503DB" w14:paraId="5AE91E0F" w14:textId="77777777">
            <w:pPr>
              <w:rPr>
                <w:sz w:val="18"/>
                <w:szCs w:val="18"/>
              </w:rPr>
            </w:pPr>
            <w:r w:rsidRPr="00FB5CCC">
              <w:rPr>
                <w:sz w:val="18"/>
                <w:szCs w:val="18"/>
              </w:rPr>
              <w:t>Secure</w:t>
            </w:r>
          </w:p>
        </w:tc>
      </w:tr>
      <w:tr w:rsidRPr="00FB5CCC" w:rsidR="007503DB" w:rsidTr="00AF5F4C" w14:paraId="71E97A37" w14:textId="77777777">
        <w:tc>
          <w:tcPr>
            <w:tcW w:w="9356" w:type="dxa"/>
            <w:tcBorders>
              <w:bottom w:val="single" w:color="auto" w:sz="4" w:space="0"/>
            </w:tcBorders>
          </w:tcPr>
          <w:p w:rsidRPr="005C55C9" w:rsidR="007503DB" w:rsidP="00AF5F4C" w:rsidRDefault="007503DB" w14:paraId="0DFF4E76" w14:textId="77777777">
            <w:pPr>
              <w:rPr>
                <w:b/>
                <w:noProof/>
                <w:sz w:val="18"/>
                <w:lang w:eastAsia="en-GB"/>
              </w:rPr>
            </w:pPr>
            <w:r w:rsidRPr="005C55C9">
              <w:rPr>
                <w:b/>
                <w:noProof/>
                <w:sz w:val="18"/>
                <w:lang w:eastAsia="en-GB"/>
              </w:rPr>
              <w:t xml:space="preserve">Musical elements </w:t>
            </w:r>
          </w:p>
          <w:p w:rsidRPr="00417B78" w:rsidR="007503DB" w:rsidP="007503DB" w:rsidRDefault="007503DB" w14:paraId="1671B161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There is a variety of musical elements that show a good level of musical understanding</w:t>
            </w:r>
          </w:p>
          <w:p w:rsidRPr="00C820DC" w:rsidR="007503DB" w:rsidP="00AF5F4C" w:rsidRDefault="007503DB" w14:paraId="22AE85AC" w14:textId="77777777">
            <w:pP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  <w:t>Development of ideas</w:t>
            </w:r>
          </w:p>
          <w:p w:rsidR="007503DB" w:rsidP="007503DB" w:rsidRDefault="007503DB" w14:paraId="1C4ACA23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There is development using a range of appropriate compositional techniques.</w:t>
            </w:r>
          </w:p>
          <w:p w:rsidRPr="005C55C9" w:rsidR="007503DB" w:rsidP="00AF5F4C" w:rsidRDefault="007503DB" w14:paraId="7C397275" w14:textId="77777777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5C55C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Intention</w:t>
            </w:r>
          </w:p>
          <w:p w:rsidRPr="006662B1" w:rsidR="007503DB" w:rsidP="007503DB" w:rsidRDefault="007503DB" w14:paraId="42E8F93A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composer’s intentions are clear and the piece is successful.</w:t>
            </w:r>
          </w:p>
          <w:p w:rsidRPr="007468E0" w:rsidR="007503DB" w:rsidP="00AF5F4C" w:rsidRDefault="007503DB" w14:paraId="7EADF052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FB5CCC" w:rsidR="007503DB" w:rsidTr="00AF5F4C" w14:paraId="6A90D8CA" w14:textId="77777777">
        <w:tc>
          <w:tcPr>
            <w:tcW w:w="9356" w:type="dxa"/>
            <w:shd w:val="clear" w:color="auto" w:fill="FFE599" w:themeFill="accent4" w:themeFillTint="66"/>
          </w:tcPr>
          <w:p w:rsidRPr="00FB5CCC" w:rsidR="007503DB" w:rsidP="00AF5F4C" w:rsidRDefault="007503DB" w14:paraId="250276B6" w14:textId="77777777">
            <w:pPr>
              <w:rPr>
                <w:sz w:val="18"/>
                <w:szCs w:val="18"/>
              </w:rPr>
            </w:pPr>
            <w:r w:rsidRPr="00FB5CCC">
              <w:rPr>
                <w:sz w:val="18"/>
                <w:szCs w:val="18"/>
              </w:rPr>
              <w:t>Developing</w:t>
            </w:r>
          </w:p>
        </w:tc>
      </w:tr>
      <w:tr w:rsidRPr="00FB5CCC" w:rsidR="007503DB" w:rsidTr="00AF5F4C" w14:paraId="0AB0F7C9" w14:textId="77777777">
        <w:tc>
          <w:tcPr>
            <w:tcW w:w="9356" w:type="dxa"/>
            <w:tcBorders>
              <w:bottom w:val="single" w:color="auto" w:sz="4" w:space="0"/>
            </w:tcBorders>
          </w:tcPr>
          <w:p w:rsidRPr="005C55C9" w:rsidR="007503DB" w:rsidP="00AF5F4C" w:rsidRDefault="007503DB" w14:paraId="51D9B1D2" w14:textId="77777777">
            <w:pPr>
              <w:rPr>
                <w:b/>
                <w:noProof/>
                <w:sz w:val="18"/>
                <w:szCs w:val="18"/>
                <w:lang w:eastAsia="en-GB"/>
              </w:rPr>
            </w:pPr>
            <w:r w:rsidRPr="005C55C9">
              <w:rPr>
                <w:b/>
                <w:noProof/>
                <w:sz w:val="18"/>
                <w:szCs w:val="18"/>
                <w:lang w:eastAsia="en-GB"/>
              </w:rPr>
              <w:t xml:space="preserve">Musical elements </w:t>
            </w:r>
          </w:p>
          <w:p w:rsidRPr="00417B78" w:rsidR="007503DB" w:rsidP="007503DB" w:rsidRDefault="007503DB" w14:paraId="2787A978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There is a range of musical elements which show musical understanding </w:t>
            </w:r>
          </w:p>
          <w:p w:rsidRPr="00C820DC" w:rsidR="007503DB" w:rsidP="00AF5F4C" w:rsidRDefault="007503DB" w14:paraId="1A7D34D1" w14:textId="77777777">
            <w:pP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  <w:t>Development of ideas</w:t>
            </w:r>
          </w:p>
          <w:p w:rsidR="007503DB" w:rsidP="007503DB" w:rsidRDefault="007503DB" w14:paraId="505FEFB2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There is some development using mostly appropriate compositional techniques</w:t>
            </w:r>
          </w:p>
          <w:p w:rsidRPr="005C55C9" w:rsidR="007503DB" w:rsidP="00AF5F4C" w:rsidRDefault="007503DB" w14:paraId="0B7B5B3B" w14:textId="77777777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5C55C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Intention</w:t>
            </w:r>
          </w:p>
          <w:p w:rsidRPr="006662B1" w:rsidR="007503DB" w:rsidP="007503DB" w:rsidRDefault="007503DB" w14:paraId="16679890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The composer’s intentions are mostly clear.</w:t>
            </w:r>
          </w:p>
          <w:p w:rsidRPr="00FB5CCC" w:rsidR="007503DB" w:rsidP="00AF5F4C" w:rsidRDefault="007503DB" w14:paraId="1F5493A6" w14:textId="77777777">
            <w:pPr>
              <w:rPr>
                <w:sz w:val="18"/>
                <w:szCs w:val="18"/>
              </w:rPr>
            </w:pPr>
          </w:p>
        </w:tc>
      </w:tr>
      <w:tr w:rsidRPr="00FB5CCC" w:rsidR="007503DB" w:rsidTr="00AF5F4C" w14:paraId="2C269048" w14:textId="77777777">
        <w:tc>
          <w:tcPr>
            <w:tcW w:w="9356" w:type="dxa"/>
            <w:shd w:val="clear" w:color="auto" w:fill="FFE599" w:themeFill="accent4" w:themeFillTint="66"/>
          </w:tcPr>
          <w:p w:rsidRPr="00FB5CCC" w:rsidR="007503DB" w:rsidP="00AF5F4C" w:rsidRDefault="007503DB" w14:paraId="421EA180" w14:textId="77777777">
            <w:pPr>
              <w:rPr>
                <w:sz w:val="18"/>
                <w:szCs w:val="18"/>
              </w:rPr>
            </w:pPr>
            <w:r w:rsidRPr="00FB5CCC">
              <w:rPr>
                <w:sz w:val="18"/>
                <w:szCs w:val="18"/>
              </w:rPr>
              <w:lastRenderedPageBreak/>
              <w:t>Foundation</w:t>
            </w:r>
          </w:p>
        </w:tc>
      </w:tr>
      <w:tr w:rsidRPr="00FB5CCC" w:rsidR="007503DB" w:rsidTr="00AF5F4C" w14:paraId="7C00169E" w14:textId="77777777">
        <w:tc>
          <w:tcPr>
            <w:tcW w:w="9356" w:type="dxa"/>
          </w:tcPr>
          <w:p w:rsidRPr="005C55C9" w:rsidR="007503DB" w:rsidP="00AF5F4C" w:rsidRDefault="007503DB" w14:paraId="5E79D965" w14:textId="77777777">
            <w:pPr>
              <w:rPr>
                <w:b/>
                <w:noProof/>
                <w:sz w:val="18"/>
                <w:szCs w:val="18"/>
                <w:lang w:eastAsia="en-GB"/>
              </w:rPr>
            </w:pPr>
            <w:r w:rsidRPr="005C55C9">
              <w:rPr>
                <w:b/>
                <w:noProof/>
                <w:sz w:val="18"/>
                <w:szCs w:val="18"/>
                <w:lang w:eastAsia="en-GB"/>
              </w:rPr>
              <w:t xml:space="preserve">Musical elements </w:t>
            </w:r>
          </w:p>
          <w:p w:rsidRPr="00417B78" w:rsidR="007503DB" w:rsidP="007503DB" w:rsidRDefault="007503DB" w14:paraId="0395DD39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There is a small range of musical elements used in combination with some success</w:t>
            </w:r>
          </w:p>
          <w:p w:rsidRPr="00C820DC" w:rsidR="007503DB" w:rsidP="00AF5F4C" w:rsidRDefault="007503DB" w14:paraId="27548BE8" w14:textId="77777777">
            <w:pP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  <w:t>Development of ideas</w:t>
            </w:r>
          </w:p>
          <w:p w:rsidR="007503DB" w:rsidP="007503DB" w:rsidRDefault="007503DB" w14:paraId="7187FF99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Simple development and simple compositional techniques used (e.g. copy and paste).</w:t>
            </w:r>
          </w:p>
          <w:p w:rsidRPr="005C55C9" w:rsidR="007503DB" w:rsidP="00AF5F4C" w:rsidRDefault="007503DB" w14:paraId="096572E4" w14:textId="77777777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5C55C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Intention</w:t>
            </w:r>
          </w:p>
          <w:p w:rsidRPr="006662B1" w:rsidR="007503DB" w:rsidP="007503DB" w:rsidRDefault="007503DB" w14:paraId="13F5544C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Some intentions of the composer are evident in places.</w:t>
            </w:r>
          </w:p>
          <w:p w:rsidRPr="00FB5CCC" w:rsidR="007503DB" w:rsidP="00AF5F4C" w:rsidRDefault="007503DB" w14:paraId="45AF9551" w14:textId="77777777">
            <w:pPr>
              <w:rPr>
                <w:sz w:val="18"/>
                <w:szCs w:val="18"/>
              </w:rPr>
            </w:pPr>
          </w:p>
        </w:tc>
      </w:tr>
    </w:tbl>
    <w:p w:rsidR="005F5A18" w:rsidP="008E39B4" w:rsidRDefault="005F5A18" w14:paraId="33F209F1" w14:textId="0501EB0A"/>
    <w:p w:rsidR="003D242D" w:rsidP="008E39B4" w:rsidRDefault="003D242D" w14:paraId="35A296AE" w14:textId="77777777"/>
    <w:sectPr w:rsidR="003D242D" w:rsidSect="00A23F48">
      <w:headerReference w:type="default" r:id="rId10"/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3DE4" w:rsidP="00017B74" w:rsidRDefault="00D33DE4" w14:paraId="3C0ABFDA" w14:textId="77777777">
      <w:pPr>
        <w:spacing w:after="0" w:line="240" w:lineRule="auto"/>
      </w:pPr>
      <w:r>
        <w:separator/>
      </w:r>
    </w:p>
  </w:endnote>
  <w:endnote w:type="continuationSeparator" w:id="0">
    <w:p w:rsidR="00D33DE4" w:rsidP="00017B74" w:rsidRDefault="00D33DE4" w14:paraId="4F4A242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3DE4" w:rsidP="00017B74" w:rsidRDefault="00D33DE4" w14:paraId="0C4855B7" w14:textId="77777777">
      <w:pPr>
        <w:spacing w:after="0" w:line="240" w:lineRule="auto"/>
      </w:pPr>
      <w:r>
        <w:separator/>
      </w:r>
    </w:p>
  </w:footnote>
  <w:footnote w:type="continuationSeparator" w:id="0">
    <w:p w:rsidR="00D33DE4" w:rsidP="00017B74" w:rsidRDefault="00D33DE4" w14:paraId="628EB85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168F2876"/>
    <w:multiLevelType w:val="hybridMultilevel"/>
    <w:tmpl w:val="351CF9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60F0"/>
    <w:rsid w:val="00017B74"/>
    <w:rsid w:val="00017E7D"/>
    <w:rsid w:val="000248D2"/>
    <w:rsid w:val="00061286"/>
    <w:rsid w:val="0007415F"/>
    <w:rsid w:val="000809D1"/>
    <w:rsid w:val="00081EC4"/>
    <w:rsid w:val="00095A76"/>
    <w:rsid w:val="00097D5E"/>
    <w:rsid w:val="000A2DE6"/>
    <w:rsid w:val="000A3DE6"/>
    <w:rsid w:val="000A7E4A"/>
    <w:rsid w:val="000B2004"/>
    <w:rsid w:val="000D6EBA"/>
    <w:rsid w:val="000F4895"/>
    <w:rsid w:val="000F6E59"/>
    <w:rsid w:val="000F7AAC"/>
    <w:rsid w:val="00112802"/>
    <w:rsid w:val="00126009"/>
    <w:rsid w:val="00146FAA"/>
    <w:rsid w:val="001615B7"/>
    <w:rsid w:val="001714BD"/>
    <w:rsid w:val="00182E49"/>
    <w:rsid w:val="00191564"/>
    <w:rsid w:val="00195FC1"/>
    <w:rsid w:val="001B13D0"/>
    <w:rsid w:val="0021749C"/>
    <w:rsid w:val="002250AD"/>
    <w:rsid w:val="002558C0"/>
    <w:rsid w:val="002628CD"/>
    <w:rsid w:val="002768CD"/>
    <w:rsid w:val="00276DCD"/>
    <w:rsid w:val="00296C50"/>
    <w:rsid w:val="00296E07"/>
    <w:rsid w:val="002B0167"/>
    <w:rsid w:val="002B3A81"/>
    <w:rsid w:val="002C7A83"/>
    <w:rsid w:val="002D19C5"/>
    <w:rsid w:val="002F5BDC"/>
    <w:rsid w:val="0030007B"/>
    <w:rsid w:val="00303533"/>
    <w:rsid w:val="00312D8A"/>
    <w:rsid w:val="0031438B"/>
    <w:rsid w:val="00331195"/>
    <w:rsid w:val="00337DA8"/>
    <w:rsid w:val="00360088"/>
    <w:rsid w:val="00374B73"/>
    <w:rsid w:val="00381D98"/>
    <w:rsid w:val="00386619"/>
    <w:rsid w:val="00387CF4"/>
    <w:rsid w:val="003975C2"/>
    <w:rsid w:val="003B458C"/>
    <w:rsid w:val="003C12A7"/>
    <w:rsid w:val="003D242D"/>
    <w:rsid w:val="003D621D"/>
    <w:rsid w:val="003E6B6F"/>
    <w:rsid w:val="00416F25"/>
    <w:rsid w:val="00422C9E"/>
    <w:rsid w:val="0043565D"/>
    <w:rsid w:val="00440E6C"/>
    <w:rsid w:val="004422EE"/>
    <w:rsid w:val="00444600"/>
    <w:rsid w:val="0044759D"/>
    <w:rsid w:val="00447F1F"/>
    <w:rsid w:val="0046183A"/>
    <w:rsid w:val="00470975"/>
    <w:rsid w:val="00471A0F"/>
    <w:rsid w:val="0047324F"/>
    <w:rsid w:val="00477A2B"/>
    <w:rsid w:val="00484E9A"/>
    <w:rsid w:val="00485ACE"/>
    <w:rsid w:val="00487E07"/>
    <w:rsid w:val="004A0A24"/>
    <w:rsid w:val="004A7882"/>
    <w:rsid w:val="004D20F5"/>
    <w:rsid w:val="004D76CD"/>
    <w:rsid w:val="004E1141"/>
    <w:rsid w:val="004F0655"/>
    <w:rsid w:val="00505F89"/>
    <w:rsid w:val="005156E0"/>
    <w:rsid w:val="00524B16"/>
    <w:rsid w:val="005367E1"/>
    <w:rsid w:val="0054154D"/>
    <w:rsid w:val="005455C1"/>
    <w:rsid w:val="0055336A"/>
    <w:rsid w:val="005611B1"/>
    <w:rsid w:val="005620B8"/>
    <w:rsid w:val="00566CF7"/>
    <w:rsid w:val="005713D3"/>
    <w:rsid w:val="0058112B"/>
    <w:rsid w:val="00583B2D"/>
    <w:rsid w:val="005A63AC"/>
    <w:rsid w:val="005D1A87"/>
    <w:rsid w:val="005D362C"/>
    <w:rsid w:val="005E0196"/>
    <w:rsid w:val="005F4E99"/>
    <w:rsid w:val="005F5A18"/>
    <w:rsid w:val="006065B4"/>
    <w:rsid w:val="00612C91"/>
    <w:rsid w:val="00621A4A"/>
    <w:rsid w:val="00646133"/>
    <w:rsid w:val="006509A5"/>
    <w:rsid w:val="0065671D"/>
    <w:rsid w:val="006945E0"/>
    <w:rsid w:val="006A1AAC"/>
    <w:rsid w:val="006A37DA"/>
    <w:rsid w:val="006D5023"/>
    <w:rsid w:val="006D5F80"/>
    <w:rsid w:val="006D6668"/>
    <w:rsid w:val="006E1315"/>
    <w:rsid w:val="006E2C51"/>
    <w:rsid w:val="006E69F2"/>
    <w:rsid w:val="006F1A96"/>
    <w:rsid w:val="006F510C"/>
    <w:rsid w:val="00711E6B"/>
    <w:rsid w:val="007146EF"/>
    <w:rsid w:val="00735D50"/>
    <w:rsid w:val="00745A8B"/>
    <w:rsid w:val="007468C2"/>
    <w:rsid w:val="007503DB"/>
    <w:rsid w:val="007508AF"/>
    <w:rsid w:val="0075259D"/>
    <w:rsid w:val="007848E3"/>
    <w:rsid w:val="007A441F"/>
    <w:rsid w:val="007B5A07"/>
    <w:rsid w:val="007C3747"/>
    <w:rsid w:val="007E09F8"/>
    <w:rsid w:val="007F6115"/>
    <w:rsid w:val="00811F13"/>
    <w:rsid w:val="0083335D"/>
    <w:rsid w:val="00841049"/>
    <w:rsid w:val="00842A81"/>
    <w:rsid w:val="00842F71"/>
    <w:rsid w:val="00847F4E"/>
    <w:rsid w:val="00855C0F"/>
    <w:rsid w:val="00861D9D"/>
    <w:rsid w:val="008645FE"/>
    <w:rsid w:val="00866B1F"/>
    <w:rsid w:val="00867D25"/>
    <w:rsid w:val="00874668"/>
    <w:rsid w:val="00875521"/>
    <w:rsid w:val="008776F4"/>
    <w:rsid w:val="00893D40"/>
    <w:rsid w:val="008A0E5E"/>
    <w:rsid w:val="008B1952"/>
    <w:rsid w:val="008C34B5"/>
    <w:rsid w:val="008D124F"/>
    <w:rsid w:val="008D322F"/>
    <w:rsid w:val="008E0315"/>
    <w:rsid w:val="008E39B4"/>
    <w:rsid w:val="008F1B56"/>
    <w:rsid w:val="008F1F51"/>
    <w:rsid w:val="009060DC"/>
    <w:rsid w:val="009122B9"/>
    <w:rsid w:val="00915ED2"/>
    <w:rsid w:val="00917300"/>
    <w:rsid w:val="00921F46"/>
    <w:rsid w:val="00931CB5"/>
    <w:rsid w:val="00933CE9"/>
    <w:rsid w:val="00943748"/>
    <w:rsid w:val="00955FD5"/>
    <w:rsid w:val="009661DC"/>
    <w:rsid w:val="00967EBA"/>
    <w:rsid w:val="009B2FAB"/>
    <w:rsid w:val="009D0530"/>
    <w:rsid w:val="009D4875"/>
    <w:rsid w:val="009E652E"/>
    <w:rsid w:val="00A009F8"/>
    <w:rsid w:val="00A1312A"/>
    <w:rsid w:val="00A214C9"/>
    <w:rsid w:val="00A23F48"/>
    <w:rsid w:val="00A314F1"/>
    <w:rsid w:val="00A904AA"/>
    <w:rsid w:val="00AA1BBE"/>
    <w:rsid w:val="00AB0A91"/>
    <w:rsid w:val="00AD53E5"/>
    <w:rsid w:val="00AD6642"/>
    <w:rsid w:val="00AF5AA1"/>
    <w:rsid w:val="00B043F2"/>
    <w:rsid w:val="00B159B1"/>
    <w:rsid w:val="00B27632"/>
    <w:rsid w:val="00B3508A"/>
    <w:rsid w:val="00B70677"/>
    <w:rsid w:val="00B835F0"/>
    <w:rsid w:val="00B8695D"/>
    <w:rsid w:val="00B93134"/>
    <w:rsid w:val="00BA0BD8"/>
    <w:rsid w:val="00BA6129"/>
    <w:rsid w:val="00BA646E"/>
    <w:rsid w:val="00BA6F02"/>
    <w:rsid w:val="00BB71F8"/>
    <w:rsid w:val="00BD3BD5"/>
    <w:rsid w:val="00BE0346"/>
    <w:rsid w:val="00C05C64"/>
    <w:rsid w:val="00C1344C"/>
    <w:rsid w:val="00C17382"/>
    <w:rsid w:val="00C21142"/>
    <w:rsid w:val="00C21770"/>
    <w:rsid w:val="00C24CE6"/>
    <w:rsid w:val="00C31624"/>
    <w:rsid w:val="00C35458"/>
    <w:rsid w:val="00C40CD3"/>
    <w:rsid w:val="00C41D08"/>
    <w:rsid w:val="00C7574B"/>
    <w:rsid w:val="00C97837"/>
    <w:rsid w:val="00CA59AB"/>
    <w:rsid w:val="00CF2483"/>
    <w:rsid w:val="00D33DE4"/>
    <w:rsid w:val="00D348A4"/>
    <w:rsid w:val="00D34EFE"/>
    <w:rsid w:val="00D3546D"/>
    <w:rsid w:val="00D54BF0"/>
    <w:rsid w:val="00D652F2"/>
    <w:rsid w:val="00D70E64"/>
    <w:rsid w:val="00D8681B"/>
    <w:rsid w:val="00D8795A"/>
    <w:rsid w:val="00D92642"/>
    <w:rsid w:val="00DA023C"/>
    <w:rsid w:val="00DB0006"/>
    <w:rsid w:val="00DB46D7"/>
    <w:rsid w:val="00DB5849"/>
    <w:rsid w:val="00DC23A5"/>
    <w:rsid w:val="00DC6B4F"/>
    <w:rsid w:val="00E16D9D"/>
    <w:rsid w:val="00E17E95"/>
    <w:rsid w:val="00E5371A"/>
    <w:rsid w:val="00E575E2"/>
    <w:rsid w:val="00E60B33"/>
    <w:rsid w:val="00E65691"/>
    <w:rsid w:val="00E8182A"/>
    <w:rsid w:val="00E90214"/>
    <w:rsid w:val="00E9243A"/>
    <w:rsid w:val="00E965BA"/>
    <w:rsid w:val="00EA02BD"/>
    <w:rsid w:val="00EA2598"/>
    <w:rsid w:val="00EA4E65"/>
    <w:rsid w:val="00F019C0"/>
    <w:rsid w:val="00F026A7"/>
    <w:rsid w:val="00F073CF"/>
    <w:rsid w:val="00F07E2B"/>
    <w:rsid w:val="00F30696"/>
    <w:rsid w:val="00F42B64"/>
    <w:rsid w:val="00F432C5"/>
    <w:rsid w:val="00F43D58"/>
    <w:rsid w:val="00F47D4C"/>
    <w:rsid w:val="00F75456"/>
    <w:rsid w:val="00F77F63"/>
    <w:rsid w:val="00F86B89"/>
    <w:rsid w:val="00F9765D"/>
    <w:rsid w:val="00FB7D5A"/>
    <w:rsid w:val="00FD56F3"/>
    <w:rsid w:val="00FE1C68"/>
    <w:rsid w:val="00FE6CF1"/>
    <w:rsid w:val="0C058F1C"/>
    <w:rsid w:val="260E4AB1"/>
    <w:rsid w:val="7AFBA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59"/>
    <w:rsid w:val="005F5A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2259D2B2614EAA560A23794D284E" ma:contentTypeVersion="16" ma:contentTypeDescription="Create a new document." ma:contentTypeScope="" ma:versionID="5a1132c4fb7928955e09c70068461c49">
  <xsd:schema xmlns:xsd="http://www.w3.org/2001/XMLSchema" xmlns:xs="http://www.w3.org/2001/XMLSchema" xmlns:p="http://schemas.microsoft.com/office/2006/metadata/properties" xmlns:ns2="231fda97-f46f-4a86-bd9b-809e86dd0d65" xmlns:ns3="069cf267-c0bd-49c7-8dea-4928a3e49080" targetNamespace="http://schemas.microsoft.com/office/2006/metadata/properties" ma:root="true" ma:fieldsID="4328985010e925c24d351e2b1dfa63d9" ns2:_="" ns3:_="">
    <xsd:import namespace="231fda97-f46f-4a86-bd9b-809e86dd0d65"/>
    <xsd:import namespace="069cf267-c0bd-49c7-8dea-4928a3e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a97-f46f-4a86-bd9b-809e86dd0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2f5df7-d113-4f9a-9e5d-06dfcd7cb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267-c0bd-49c7-8dea-4928a3e4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a058b4-9133-4680-8642-a41f7983918f}" ma:internalName="TaxCatchAll" ma:showField="CatchAllData" ma:web="069cf267-c0bd-49c7-8dea-4928a3e49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1fda97-f46f-4a86-bd9b-809e86dd0d65">
      <Terms xmlns="http://schemas.microsoft.com/office/infopath/2007/PartnerControls"/>
    </lcf76f155ced4ddcb4097134ff3c332f>
    <TaxCatchAll xmlns="069cf267-c0bd-49c7-8dea-4928a3e49080" xsi:nil="true"/>
  </documentManagement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209EA1-1C68-4204-A11F-9DB8AA1EA154}"/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DCoggins</cp:lastModifiedBy>
  <cp:revision>78</cp:revision>
  <dcterms:created xsi:type="dcterms:W3CDTF">2022-06-06T13:47:00Z</dcterms:created>
  <dcterms:modified xsi:type="dcterms:W3CDTF">2022-06-27T12:52:41Z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0x010100CB8C2259D2B2614EAA560A23794D284E</vt:lpwstr>
  </property>
  <property fmtid="{D5CDD505-2E9C-101B-9397-08002B2CF9AE}" pid="3" name="MediaServiceImageTags">
    <vt:lpwstr/>
  </property>
</Properties>
</file>